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"/>
        <w:rPr>
          <w:rFonts w:ascii="Times New Roman"/>
          <w:sz w:val="96"/>
        </w:rPr>
      </w:pPr>
    </w:p>
    <w:p>
      <w:pPr>
        <w:pStyle w:val="Title"/>
      </w:pPr>
      <w:r>
        <w:rPr>
          <w:color w:val="FFFFFF"/>
          <w:spacing w:val="17"/>
        </w:rPr>
        <w:t>RAHEEM</w:t>
      </w:r>
    </w:p>
    <w:p>
      <w:pPr>
        <w:spacing w:before="21"/>
        <w:ind w:left="3917" w:right="1" w:firstLine="0"/>
        <w:jc w:val="center"/>
        <w:rPr>
          <w:rFonts w:ascii="Microsoft Sans Serif"/>
          <w:sz w:val="96"/>
        </w:rPr>
      </w:pPr>
      <w:r>
        <w:rPr>
          <w:rFonts w:ascii="Microsoft Sans Serif"/>
          <w:color w:val="FFFFFF"/>
          <w:spacing w:val="-8"/>
          <w:sz w:val="96"/>
        </w:rPr>
        <w:t>RICHARDSON</w:t>
      </w:r>
    </w:p>
    <w:p>
      <w:pPr>
        <w:pStyle w:val="BodyText"/>
        <w:rPr>
          <w:rFonts w:ascii="Microsoft Sans Serif"/>
          <w:sz w:val="28"/>
        </w:rPr>
      </w:pPr>
    </w:p>
    <w:p>
      <w:pPr>
        <w:pStyle w:val="BodyText"/>
        <w:spacing w:before="27"/>
        <w:rPr>
          <w:rFonts w:ascii="Microsoft Sans Serif"/>
          <w:sz w:val="28"/>
        </w:rPr>
      </w:pPr>
    </w:p>
    <w:p>
      <w:pPr>
        <w:pStyle w:val="Heading1"/>
        <w:ind w:left="69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2447924</wp:posOffset>
                </wp:positionH>
                <wp:positionV relativeFrom="paragraph">
                  <wp:posOffset>71879</wp:posOffset>
                </wp:positionV>
                <wp:extent cx="9525" cy="8077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077200"/>
                          <a:chExt cx="9525" cy="8077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753350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75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753350">
                                <a:moveTo>
                                  <a:pt x="9524" y="7753349"/>
                                </a:moveTo>
                                <a:lnTo>
                                  <a:pt x="0" y="77533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753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5.659827pt;width:.75pt;height:636pt;mso-position-horizontal-relative:page;mso-position-vertical-relative:paragraph;z-index:-15797760" id="docshapegroup1" coordorigin="3855,113" coordsize="15,12720">
                <v:rect style="position:absolute;left:3855;top:12323;width:15;height:510" id="docshape2" filled="true" fillcolor="#1f1f1f" stroked="false">
                  <v:fill opacity="15420f" type="solid"/>
                </v:rect>
                <v:rect style="position:absolute;left:3855;top:113;width:15;height:12210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ABOUT</w:t>
      </w:r>
      <w:r>
        <w:rPr>
          <w:spacing w:val="-13"/>
        </w:rPr>
        <w:t> </w:t>
      </w:r>
      <w:r>
        <w:rPr>
          <w:spacing w:val="-5"/>
        </w:rPr>
        <w:t>ME</w:t>
      </w:r>
    </w:p>
    <w:p>
      <w:pPr>
        <w:pStyle w:val="BodyText"/>
        <w:spacing w:before="5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180" w:right="24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6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CONTACT</w:t>
      </w:r>
    </w:p>
    <w:p>
      <w:pPr>
        <w:pStyle w:val="BodyText"/>
        <w:tabs>
          <w:tab w:pos="918" w:val="left" w:leader="none"/>
        </w:tabs>
        <w:spacing w:before="226"/>
        <w:ind w:left="360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tabs>
          <w:tab w:pos="917" w:val="left" w:leader="none"/>
        </w:tabs>
        <w:spacing w:line="367" w:lineRule="auto" w:before="134"/>
        <w:ind w:left="360" w:right="816" w:firstLine="20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-49"/>
          <w:sz w:val="20"/>
        </w:rPr>
        <w:t> </w:t>
      </w:r>
      <w:hyperlink r:id="rId7">
        <w:r>
          <w:rPr>
            <w:color w:val="1F1F1F"/>
            <w:spacing w:val="-2"/>
          </w:rPr>
          <w:t>email@example.com</w:t>
        </w:r>
      </w:hyperlink>
      <w:r>
        <w:rPr>
          <w:color w:val="1F1F1F"/>
          <w:spacing w:val="-2"/>
        </w:rPr>
        <w:t> </w:t>
      </w:r>
      <w:r>
        <w:rPr>
          <w:color w:val="1F1F1F"/>
          <w:position w:val="-9"/>
        </w:rPr>
        <w:drawing>
          <wp:inline distT="0" distB="0" distL="0" distR="0">
            <wp:extent cx="200679" cy="17376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9"/>
        </w:rPr>
      </w:r>
      <w:r>
        <w:rPr>
          <w:rFonts w:ascii="Times New Roman"/>
          <w:color w:val="1F1F1F"/>
        </w:rPr>
        <w:tab/>
      </w:r>
      <w:r>
        <w:rPr>
          <w:rFonts w:ascii="Times New Roman"/>
          <w:color w:val="1F1F1F"/>
          <w:spacing w:val="-44"/>
        </w:rPr>
        <w:t> </w:t>
      </w:r>
      <w:r>
        <w:rPr>
          <w:color w:val="1F1F1F"/>
        </w:rPr>
        <w:t>LinkedIn | Portfolio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</w:rPr>
        <w:t>Nashville, TN 12345</w:t>
      </w:r>
    </w:p>
    <w:p>
      <w:pPr>
        <w:pStyle w:val="BodyText"/>
        <w:spacing w:before="64"/>
      </w:pPr>
    </w:p>
    <w:p>
      <w:pPr>
        <w:pStyle w:val="Heading1"/>
      </w:pPr>
      <w:r>
        <w:rPr>
          <w:spacing w:val="-13"/>
        </w:rPr>
        <w:t>KEY</w:t>
      </w:r>
      <w:r>
        <w:rPr>
          <w:spacing w:val="-6"/>
        </w:rPr>
        <w:t> </w:t>
      </w:r>
      <w:r>
        <w:rPr>
          <w:spacing w:val="-2"/>
        </w:rPr>
        <w:t>SKILLS</w:t>
      </w:r>
    </w:p>
    <w:p>
      <w:pPr>
        <w:pStyle w:val="BodyText"/>
        <w:tabs>
          <w:tab w:pos="657" w:val="left" w:leader="none"/>
        </w:tabs>
        <w:spacing w:line="400" w:lineRule="auto" w:before="207"/>
        <w:ind w:left="359" w:right="81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Account reconciliation</w:t>
      </w:r>
      <w:r>
        <w:rPr>
          <w:color w:val="1F1F1F"/>
          <w:spacing w:val="40"/>
          <w:w w:val="105"/>
        </w:rPr>
        <w:t> </w:t>
      </w:r>
      <w:r>
        <w:rPr>
          <w:color w:val="1F1F1F"/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2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Data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entry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analysis </w:t>
      </w:r>
      <w:r>
        <w:rPr>
          <w:color w:val="1F1F1F"/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2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Payment processing</w:t>
      </w:r>
    </w:p>
    <w:p>
      <w:pPr>
        <w:pStyle w:val="BodyText"/>
        <w:tabs>
          <w:tab w:pos="657" w:val="left" w:leader="none"/>
        </w:tabs>
        <w:spacing w:line="295" w:lineRule="auto"/>
        <w:ind w:left="657" w:right="38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Microsoft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Excel,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Oracle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NetSuite, </w:t>
      </w:r>
      <w:r>
        <w:rPr>
          <w:color w:val="1F1F1F"/>
          <w:w w:val="105"/>
        </w:rPr>
        <w:t>Sage 50, QuickBooks</w:t>
      </w:r>
    </w:p>
    <w:p>
      <w:pPr>
        <w:pStyle w:val="BodyText"/>
        <w:tabs>
          <w:tab w:pos="657" w:val="left" w:leader="none"/>
        </w:tabs>
        <w:spacing w:before="89"/>
        <w:ind w:left="359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color w:val="1F1F1F"/>
          <w:spacing w:val="-2"/>
          <w:w w:val="105"/>
        </w:rPr>
        <w:t>Multi-state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tax</w:t>
      </w:r>
      <w:r>
        <w:rPr>
          <w:color w:val="1F1F1F"/>
          <w:spacing w:val="-4"/>
          <w:w w:val="105"/>
        </w:rPr>
        <w:t> ﬁling</w:t>
      </w:r>
    </w:p>
    <w:p>
      <w:pPr>
        <w:pStyle w:val="BodyText"/>
        <w:tabs>
          <w:tab w:pos="657" w:val="left" w:leader="none"/>
        </w:tabs>
        <w:spacing w:before="138"/>
        <w:ind w:left="359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</w:rPr>
        <w:t>Regulatory</w:t>
      </w:r>
      <w:r>
        <w:rPr>
          <w:color w:val="1F1F1F"/>
          <w:spacing w:val="21"/>
        </w:rPr>
        <w:t> </w:t>
      </w:r>
      <w:r>
        <w:rPr>
          <w:color w:val="1F1F1F"/>
          <w:spacing w:val="-2"/>
        </w:rPr>
        <w:t>adaptability</w:t>
      </w:r>
    </w:p>
    <w:p>
      <w:pPr>
        <w:spacing w:line="290" w:lineRule="auto" w:before="70"/>
        <w:ind w:left="103" w:right="114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Highly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skilled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accounts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receivable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clerk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with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solid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educational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background in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accounting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finance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over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four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years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of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experience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in</w:t>
      </w:r>
      <w:r>
        <w:rPr>
          <w:color w:val="1F1F1F"/>
          <w:spacing w:val="29"/>
          <w:w w:val="105"/>
          <w:sz w:val="20"/>
        </w:rPr>
        <w:t> </w:t>
      </w:r>
      <w:r>
        <w:rPr>
          <w:color w:val="1F1F1F"/>
          <w:w w:val="105"/>
          <w:sz w:val="20"/>
        </w:rPr>
        <w:t>top</w:t>
      </w:r>
      <w:r>
        <w:rPr>
          <w:color w:val="1F1F1F"/>
          <w:w w:val="105"/>
          <w:sz w:val="20"/>
        </w:rPr>
        <w:t> accounting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firms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like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Deloitte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PwC.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Proven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track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record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in</w:t>
      </w:r>
      <w:r>
        <w:rPr>
          <w:color w:val="1F1F1F"/>
          <w:spacing w:val="31"/>
          <w:w w:val="105"/>
          <w:sz w:val="20"/>
        </w:rPr>
        <w:t> </w:t>
      </w:r>
      <w:r>
        <w:rPr>
          <w:color w:val="1F1F1F"/>
          <w:w w:val="105"/>
          <w:sz w:val="20"/>
        </w:rPr>
        <w:t>processing high volumes of incoming payments, reconciling accounts receivable ledgers, and managing customer communications effectively. Holds certifications as a Certified Bookkeeper (CB), Certified Accounts Receivable Specialist (CARS), and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Certified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Public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Accountant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(CPA),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demonstrating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proficiency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in accounting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software,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knowledge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of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basic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accounting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principles,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and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robust data entry skills.</w:t>
      </w:r>
    </w:p>
    <w:p>
      <w:pPr>
        <w:pStyle w:val="BodyText"/>
        <w:spacing w:before="10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138909</wp:posOffset>
                </wp:positionV>
                <wp:extent cx="462915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0.937793pt;width:364.499971pt;height:.7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7"/>
        <w:rPr>
          <w:sz w:val="20"/>
        </w:rPr>
      </w:pPr>
    </w:p>
    <w:p>
      <w:pPr>
        <w:pStyle w:val="Heading1"/>
      </w:pPr>
      <w:r>
        <w:rPr>
          <w:spacing w:val="-11"/>
        </w:rPr>
        <w:t>PROFESSIONAL</w:t>
      </w:r>
      <w:r>
        <w:rPr>
          <w:spacing w:val="3"/>
        </w:rPr>
        <w:t> </w:t>
      </w:r>
      <w:r>
        <w:rPr>
          <w:spacing w:val="-2"/>
        </w:rPr>
        <w:t>EXPERIENCE</w:t>
      </w:r>
    </w:p>
    <w:p>
      <w:pPr>
        <w:spacing w:before="188"/>
        <w:ind w:left="100" w:right="0" w:firstLine="0"/>
        <w:jc w:val="left"/>
        <w:rPr>
          <w:sz w:val="20"/>
        </w:rPr>
      </w:pPr>
      <w:r>
        <w:rPr>
          <w:color w:val="1F1F1F"/>
          <w:sz w:val="20"/>
        </w:rPr>
        <w:t>Senior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Accounts</w:t>
      </w:r>
      <w:r>
        <w:rPr>
          <w:color w:val="1F1F1F"/>
          <w:spacing w:val="11"/>
          <w:sz w:val="20"/>
        </w:rPr>
        <w:t> </w:t>
      </w:r>
      <w:r>
        <w:rPr>
          <w:color w:val="1F1F1F"/>
          <w:sz w:val="20"/>
        </w:rPr>
        <w:t>Receivable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2"/>
          <w:sz w:val="20"/>
        </w:rPr>
        <w:t>Clerk</w:t>
      </w:r>
    </w:p>
    <w:p>
      <w:pPr>
        <w:spacing w:before="130"/>
        <w:ind w:left="100" w:right="0" w:firstLine="0"/>
        <w:jc w:val="left"/>
        <w:rPr>
          <w:sz w:val="20"/>
        </w:rPr>
      </w:pPr>
      <w:r>
        <w:rPr>
          <w:sz w:val="20"/>
        </w:rPr>
        <w:t>Deloitte,</w:t>
      </w:r>
      <w:r>
        <w:rPr>
          <w:spacing w:val="2"/>
          <w:sz w:val="20"/>
        </w:rPr>
        <w:t> </w:t>
      </w:r>
      <w:r>
        <w:rPr>
          <w:sz w:val="20"/>
        </w:rPr>
        <w:t>Philadelphia,</w:t>
      </w:r>
      <w:r>
        <w:rPr>
          <w:spacing w:val="3"/>
          <w:sz w:val="20"/>
        </w:rPr>
        <w:t> </w:t>
      </w:r>
      <w:r>
        <w:rPr>
          <w:sz w:val="20"/>
        </w:rPr>
        <w:t>PA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June</w:t>
      </w:r>
      <w:r>
        <w:rPr>
          <w:spacing w:val="3"/>
          <w:sz w:val="20"/>
        </w:rPr>
        <w:t> </w:t>
      </w:r>
      <w:r>
        <w:rPr>
          <w:sz w:val="20"/>
        </w:rPr>
        <w:t>2017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tabs>
          <w:tab w:pos="936" w:val="left" w:leader="none"/>
        </w:tabs>
        <w:spacing w:line="295" w:lineRule="auto" w:before="134"/>
        <w:ind w:left="936" w:right="366" w:hanging="302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Processed an average of 500 incoming payments per month, ensuring accurate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application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customer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accounts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maintaining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99%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accuracy </w:t>
      </w:r>
      <w:r>
        <w:rPr>
          <w:color w:val="1F1F1F"/>
          <w:spacing w:val="-4"/>
          <w:w w:val="105"/>
        </w:rPr>
        <w:t>rate</w:t>
      </w:r>
    </w:p>
    <w:p>
      <w:pPr>
        <w:pStyle w:val="BodyText"/>
        <w:tabs>
          <w:tab w:pos="936" w:val="left" w:leader="none"/>
        </w:tabs>
        <w:spacing w:line="295" w:lineRule="auto" w:before="91"/>
        <w:ind w:left="936" w:right="363" w:hanging="302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Reconciled the accounts receivable ledger every week, identifying and resolving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discrepancies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promptly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ensure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all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payments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were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accounted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for</w:t>
      </w:r>
    </w:p>
    <w:p>
      <w:pPr>
        <w:pStyle w:val="BodyText"/>
        <w:tabs>
          <w:tab w:pos="936" w:val="left" w:leader="none"/>
        </w:tabs>
        <w:spacing w:line="295" w:lineRule="auto" w:before="91"/>
        <w:ind w:left="936" w:right="652" w:hanging="302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Managed customer communication effectively, resolving disputes and answering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queries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about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invoices,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leading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20%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reduction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overdue </w:t>
      </w:r>
      <w:r>
        <w:rPr>
          <w:color w:val="1F1F1F"/>
          <w:spacing w:val="-2"/>
          <w:w w:val="105"/>
        </w:rPr>
        <w:t>payments</w:t>
      </w:r>
    </w:p>
    <w:p>
      <w:pPr>
        <w:spacing w:after="0" w:line="295" w:lineRule="auto"/>
        <w:sectPr>
          <w:type w:val="continuous"/>
          <w:pgSz w:w="11920" w:h="16860"/>
          <w:pgMar w:top="0" w:bottom="0" w:left="180" w:right="240"/>
          <w:cols w:num="2" w:equalWidth="0">
            <w:col w:w="3432" w:space="418"/>
            <w:col w:w="7650"/>
          </w:cols>
        </w:sectPr>
      </w:pPr>
    </w:p>
    <w:p>
      <w:pPr>
        <w:spacing w:before="177"/>
        <w:ind w:left="395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8272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-73082</wp:posOffset>
                </wp:positionH>
                <wp:positionV relativeFrom="page">
                  <wp:posOffset>0</wp:posOffset>
                </wp:positionV>
                <wp:extent cx="7714615" cy="283845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714615" cy="2838450"/>
                          <a:chExt cx="7714615" cy="28384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521007" y="380999"/>
                            <a:ext cx="952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90725">
                                <a:moveTo>
                                  <a:pt x="0" y="1990725"/>
                                </a:moveTo>
                                <a:lnTo>
                                  <a:pt x="9524" y="199072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3082" y="0"/>
                            <a:ext cx="756856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71725">
                                <a:moveTo>
                                  <a:pt x="7568183" y="2371724"/>
                                </a:moveTo>
                                <a:lnTo>
                                  <a:pt x="0" y="23717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71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3082" y="238141"/>
                            <a:ext cx="7568565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76450">
                                <a:moveTo>
                                  <a:pt x="7568183" y="2075829"/>
                                </a:moveTo>
                                <a:lnTo>
                                  <a:pt x="0" y="2075829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75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3082" y="2240888"/>
                            <a:ext cx="756856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668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46165"/>
                                </a:lnTo>
                                <a:lnTo>
                                  <a:pt x="0" y="146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3082" y="238141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4616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732" y="717549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754562pt;margin-top:.000033pt;width:607.450pt;height:223.5pt;mso-position-horizontal-relative:page;mso-position-vertical-relative:page;z-index:-15797248" id="docshapegroup6" coordorigin="-115,0" coordsize="12149,4470">
                <v:rect style="position:absolute;left:3855;top:600;width:15;height:3135" id="docshape7" filled="true" fillcolor="#1f1f1f" stroked="false">
                  <v:fill opacity="15420f" type="solid"/>
                </v:rect>
                <v:rect style="position:absolute;left:0;top:0;width:11919;height:3735" id="docshape8" filled="true" fillcolor="#9a2f16" stroked="false">
                  <v:fill opacity="32899f" type="solid"/>
                </v:rect>
                <v:shape style="position:absolute;left:0;top:375;width:11919;height:3270" id="docshape9" coordorigin="0,375" coordsize="11919,3270" path="m11918,3644l0,3644,0,935,11918,375,11918,3644xe" filled="true" fillcolor="#9a2f16" stroked="false">
                  <v:path arrowok="t"/>
                  <v:fill type="solid"/>
                </v:shape>
                <v:rect style="position:absolute;left:0;top:3528;width:11919;height:231" id="docshape10" filled="true" fillcolor="#ffffff" stroked="false">
                  <v:fill type="solid"/>
                </v:rect>
                <v:line style="position:absolute" from="11918,375" to="0,935" stroked="true" strokeweight="11.509104pt" strokecolor="#ffffff">
                  <v:stroke dashstyle="solid"/>
                </v:line>
                <v:shape style="position:absolute;left:390;top:1130;width:3345;height:3340" type="#_x0000_t75" id="docshape11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Accounts</w:t>
      </w:r>
      <w:r>
        <w:rPr>
          <w:color w:val="1F1F1F"/>
          <w:spacing w:val="11"/>
          <w:sz w:val="20"/>
        </w:rPr>
        <w:t> </w:t>
      </w:r>
      <w:r>
        <w:rPr>
          <w:color w:val="1F1F1F"/>
          <w:sz w:val="20"/>
        </w:rPr>
        <w:t>Receivable</w:t>
      </w:r>
      <w:r>
        <w:rPr>
          <w:color w:val="1F1F1F"/>
          <w:spacing w:val="11"/>
          <w:sz w:val="20"/>
        </w:rPr>
        <w:t> </w:t>
      </w:r>
      <w:r>
        <w:rPr>
          <w:color w:val="1F1F1F"/>
          <w:spacing w:val="-2"/>
          <w:sz w:val="20"/>
        </w:rPr>
        <w:t>Clerk</w:t>
      </w:r>
    </w:p>
    <w:p>
      <w:pPr>
        <w:spacing w:before="131"/>
        <w:ind w:left="3950" w:right="0" w:firstLine="0"/>
        <w:jc w:val="left"/>
        <w:rPr>
          <w:sz w:val="20"/>
        </w:rPr>
      </w:pPr>
      <w:r>
        <w:rPr>
          <w:sz w:val="20"/>
        </w:rPr>
        <w:t>PricewaterhouseCoopers</w:t>
      </w:r>
      <w:r>
        <w:rPr>
          <w:spacing w:val="4"/>
          <w:sz w:val="20"/>
        </w:rPr>
        <w:t> </w:t>
      </w:r>
      <w:r>
        <w:rPr>
          <w:sz w:val="20"/>
        </w:rPr>
        <w:t>(PwC),</w:t>
      </w:r>
      <w:r>
        <w:rPr>
          <w:spacing w:val="5"/>
          <w:sz w:val="20"/>
        </w:rPr>
        <w:t> </w:t>
      </w:r>
      <w:r>
        <w:rPr>
          <w:sz w:val="20"/>
        </w:rPr>
        <w:t>Austin,</w:t>
      </w:r>
      <w:r>
        <w:rPr>
          <w:spacing w:val="5"/>
          <w:sz w:val="20"/>
        </w:rPr>
        <w:t> </w:t>
      </w:r>
      <w:r>
        <w:rPr>
          <w:sz w:val="20"/>
        </w:rPr>
        <w:t>TX</w:t>
      </w:r>
      <w:r>
        <w:rPr>
          <w:spacing w:val="5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January</w:t>
      </w:r>
      <w:r>
        <w:rPr>
          <w:spacing w:val="5"/>
          <w:sz w:val="20"/>
        </w:rPr>
        <w:t> </w:t>
      </w:r>
      <w:r>
        <w:rPr>
          <w:sz w:val="20"/>
        </w:rPr>
        <w:t>2017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4"/>
          <w:sz w:val="20"/>
        </w:rPr>
        <w:t> </w:t>
      </w:r>
      <w:r>
        <w:rPr>
          <w:sz w:val="20"/>
        </w:rPr>
        <w:t>May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2017</w:t>
      </w:r>
    </w:p>
    <w:p>
      <w:pPr>
        <w:pStyle w:val="BodyText"/>
        <w:tabs>
          <w:tab w:pos="4786" w:val="left" w:leader="none"/>
        </w:tabs>
        <w:spacing w:line="295" w:lineRule="auto" w:before="133"/>
        <w:ind w:left="4786" w:right="563" w:hanging="302"/>
      </w:pPr>
      <w:r>
        <w:rPr/>
        <w:drawing>
          <wp:inline distT="0" distB="0" distL="0" distR="0">
            <wp:extent cx="47624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Handled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average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300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incoming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payments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month,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applying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them correctly to the appropriate customer accounts</w:t>
      </w:r>
    </w:p>
    <w:p>
      <w:pPr>
        <w:pStyle w:val="BodyText"/>
        <w:tabs>
          <w:tab w:pos="4786" w:val="left" w:leader="none"/>
        </w:tabs>
        <w:spacing w:line="295" w:lineRule="auto" w:before="91"/>
        <w:ind w:left="4786" w:right="452" w:hanging="302"/>
      </w:pPr>
      <w:r>
        <w:rPr/>
        <w:drawing>
          <wp:inline distT="0" distB="0" distL="0" distR="0">
            <wp:extent cx="47624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Assisted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reconciliation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accounts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receivable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ledger,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ensuring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all payments were posted correctly and accounted for</w:t>
      </w:r>
    </w:p>
    <w:p>
      <w:pPr>
        <w:pStyle w:val="BodyText"/>
        <w:tabs>
          <w:tab w:pos="4786" w:val="left" w:leader="none"/>
        </w:tabs>
        <w:spacing w:line="295" w:lineRule="auto" w:before="91"/>
        <w:ind w:left="4786" w:right="353" w:hanging="302"/>
      </w:pPr>
      <w:r>
        <w:rPr/>
        <w:drawing>
          <wp:inline distT="0" distB="0" distL="0" distR="0">
            <wp:extent cx="47624" cy="4762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Communicated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customers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regarding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their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invoices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payment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issues, contributing to a 15% decrease in payment disputes</w:t>
      </w:r>
    </w:p>
    <w:p>
      <w:pPr>
        <w:pStyle w:val="BodyText"/>
        <w:spacing w:before="95"/>
        <w:rPr>
          <w:sz w:val="28"/>
        </w:rPr>
      </w:pPr>
    </w:p>
    <w:p>
      <w:pPr>
        <w:pStyle w:val="Heading1"/>
        <w:ind w:left="3950"/>
      </w:pPr>
      <w:r>
        <w:rPr>
          <w:spacing w:val="-2"/>
        </w:rPr>
        <w:t>EDUCATION</w:t>
      </w:r>
    </w:p>
    <w:p>
      <w:pPr>
        <w:spacing w:before="203"/>
        <w:ind w:left="3950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-7"/>
          <w:sz w:val="20"/>
        </w:rPr>
        <w:t> </w:t>
      </w:r>
      <w:r>
        <w:rPr>
          <w:color w:val="1F1F1F"/>
          <w:spacing w:val="-2"/>
          <w:sz w:val="20"/>
        </w:rPr>
        <w:t>Accounting</w:t>
      </w:r>
    </w:p>
    <w:p>
      <w:pPr>
        <w:spacing w:before="115"/>
        <w:ind w:left="3950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Pennsylvania,</w:t>
      </w:r>
      <w:r>
        <w:rPr>
          <w:spacing w:val="4"/>
          <w:sz w:val="20"/>
        </w:rPr>
        <w:t> </w:t>
      </w:r>
      <w:r>
        <w:rPr>
          <w:sz w:val="20"/>
        </w:rPr>
        <w:t>Philadelphia,</w:t>
      </w:r>
      <w:r>
        <w:rPr>
          <w:spacing w:val="3"/>
          <w:sz w:val="20"/>
        </w:rPr>
        <w:t> </w:t>
      </w:r>
      <w:r>
        <w:rPr>
          <w:sz w:val="20"/>
        </w:rPr>
        <w:t>PA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4"/>
          <w:sz w:val="20"/>
        </w:rPr>
        <w:t> </w:t>
      </w:r>
      <w:r>
        <w:rPr>
          <w:sz w:val="20"/>
        </w:rPr>
        <w:t>February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before="220"/>
        <w:ind w:left="3950" w:right="0" w:firstLine="0"/>
        <w:jc w:val="left"/>
        <w:rPr>
          <w:sz w:val="20"/>
        </w:rPr>
      </w:pPr>
      <w:r>
        <w:rPr>
          <w:color w:val="1F1F1F"/>
          <w:sz w:val="20"/>
        </w:rPr>
        <w:t>Bachelor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Business</w:t>
      </w:r>
      <w:r>
        <w:rPr>
          <w:color w:val="1F1F1F"/>
          <w:spacing w:val="-5"/>
          <w:sz w:val="20"/>
        </w:rPr>
        <w:t> </w:t>
      </w:r>
      <w:r>
        <w:rPr>
          <w:color w:val="1F1F1F"/>
          <w:sz w:val="20"/>
        </w:rPr>
        <w:t>Administration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a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concentration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Finance</w:t>
      </w:r>
    </w:p>
    <w:p>
      <w:pPr>
        <w:spacing w:before="115"/>
        <w:ind w:left="3950" w:right="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Texas,</w:t>
      </w:r>
      <w:r>
        <w:rPr>
          <w:spacing w:val="-3"/>
          <w:sz w:val="20"/>
        </w:rPr>
        <w:t> </w:t>
      </w:r>
      <w:r>
        <w:rPr>
          <w:sz w:val="20"/>
        </w:rPr>
        <w:t>Austin,</w:t>
      </w:r>
      <w:r>
        <w:rPr>
          <w:spacing w:val="-3"/>
          <w:sz w:val="20"/>
        </w:rPr>
        <w:t> </w:t>
      </w:r>
      <w:r>
        <w:rPr>
          <w:sz w:val="20"/>
        </w:rPr>
        <w:t>TX</w:t>
      </w:r>
      <w:r>
        <w:rPr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3"/>
          <w:sz w:val="20"/>
        </w:rPr>
        <w:t> </w:t>
      </w:r>
      <w:r>
        <w:rPr>
          <w:sz w:val="20"/>
        </w:rPr>
        <w:t>June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2023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0" w:bottom="0" w:left="180" w:right="24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796736" id="docshape12" filled="true" fillcolor="#fb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2905125"/>
                                </a:moveTo>
                                <a:lnTo>
                                  <a:pt x="0" y="2905125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2905125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23849"/>
                            <a:ext cx="9525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581275">
                                <a:moveTo>
                                  <a:pt x="9524" y="2581274"/>
                                </a:moveTo>
                                <a:lnTo>
                                  <a:pt x="0" y="25812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258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1200" id="docshapegroup13" coordorigin="3855,0" coordsize="15,16860">
                <v:shape style="position:absolute;left:3854;top:0;width:15;height:16860" id="docshape14" coordorigin="3855,0" coordsize="15,16860" path="m3870,4575l3855,4575,3855,16860,3870,16860,3870,4575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4065" id="docshape15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04"/>
        <w:rPr>
          <w:sz w:val="20"/>
        </w:rPr>
      </w:pPr>
    </w:p>
    <w:p>
      <w:pPr>
        <w:spacing w:before="1"/>
        <w:ind w:left="3950" w:right="0" w:firstLine="0"/>
        <w:jc w:val="left"/>
        <w:rPr>
          <w:sz w:val="20"/>
        </w:rPr>
      </w:pPr>
      <w:r>
        <w:rPr>
          <w:color w:val="1F1F1F"/>
          <w:sz w:val="20"/>
        </w:rPr>
        <w:t>Associate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-6"/>
          <w:sz w:val="20"/>
        </w:rPr>
        <w:t> </w:t>
      </w:r>
      <w:r>
        <w:rPr>
          <w:color w:val="1F1F1F"/>
          <w:sz w:val="20"/>
        </w:rPr>
        <w:t>Applied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Science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-6"/>
          <w:sz w:val="20"/>
        </w:rPr>
        <w:t> </w:t>
      </w:r>
      <w:r>
        <w:rPr>
          <w:color w:val="1F1F1F"/>
          <w:spacing w:val="-2"/>
          <w:sz w:val="20"/>
        </w:rPr>
        <w:t>Accounting</w:t>
      </w:r>
    </w:p>
    <w:p>
      <w:pPr>
        <w:spacing w:before="129"/>
        <w:ind w:left="3950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w w:val="105"/>
          <w:sz w:val="20"/>
        </w:rPr>
        <w:t>De</w:t>
      </w:r>
      <w:r>
        <w:rPr>
          <w:rFonts w:ascii="Trebuchet MS"/>
          <w:spacing w:val="-8"/>
          <w:w w:val="105"/>
          <w:sz w:val="20"/>
        </w:rPr>
        <w:t> </w:t>
      </w:r>
      <w:r>
        <w:rPr>
          <w:rFonts w:ascii="Trebuchet MS"/>
          <w:spacing w:val="-2"/>
          <w:w w:val="105"/>
          <w:sz w:val="20"/>
        </w:rPr>
        <w:t>Anza</w:t>
      </w:r>
      <w:r>
        <w:rPr>
          <w:rFonts w:ascii="Trebuchet MS"/>
          <w:spacing w:val="-7"/>
          <w:w w:val="105"/>
          <w:sz w:val="20"/>
        </w:rPr>
        <w:t> </w:t>
      </w:r>
      <w:r>
        <w:rPr>
          <w:rFonts w:ascii="Trebuchet MS"/>
          <w:spacing w:val="-2"/>
          <w:w w:val="105"/>
          <w:sz w:val="20"/>
        </w:rPr>
        <w:t>College,</w:t>
      </w:r>
      <w:r>
        <w:rPr>
          <w:rFonts w:ascii="Trebuchet MS"/>
          <w:spacing w:val="-7"/>
          <w:w w:val="105"/>
          <w:sz w:val="20"/>
        </w:rPr>
        <w:t> </w:t>
      </w:r>
      <w:r>
        <w:rPr>
          <w:rFonts w:ascii="Trebuchet MS"/>
          <w:spacing w:val="-2"/>
          <w:w w:val="105"/>
          <w:sz w:val="20"/>
        </w:rPr>
        <w:t>Cupertino,</w:t>
      </w:r>
      <w:r>
        <w:rPr>
          <w:rFonts w:ascii="Trebuchet MS"/>
          <w:spacing w:val="-7"/>
          <w:w w:val="105"/>
          <w:sz w:val="20"/>
        </w:rPr>
        <w:t> </w:t>
      </w:r>
      <w:r>
        <w:rPr>
          <w:rFonts w:ascii="Trebuchet MS"/>
          <w:spacing w:val="-5"/>
          <w:w w:val="105"/>
          <w:sz w:val="20"/>
        </w:rPr>
        <w:t>CA</w:t>
      </w:r>
    </w:p>
    <w:p>
      <w:pPr>
        <w:pStyle w:val="BodyText"/>
        <w:spacing w:before="211"/>
        <w:rPr>
          <w:rFonts w:ascii="Trebuchet MS"/>
          <w:sz w:val="20"/>
        </w:rPr>
      </w:pPr>
    </w:p>
    <w:p>
      <w:pPr>
        <w:pStyle w:val="Heading1"/>
        <w:ind w:left="3950"/>
      </w:pPr>
      <w:r>
        <w:rPr>
          <w:spacing w:val="-11"/>
        </w:rPr>
        <w:t>PROFESSIONAL</w:t>
      </w:r>
      <w:r>
        <w:rPr>
          <w:spacing w:val="3"/>
        </w:rPr>
        <w:t> </w:t>
      </w:r>
      <w:r>
        <w:rPr>
          <w:spacing w:val="-2"/>
        </w:rPr>
        <w:t>DEVELOPMENT</w:t>
      </w:r>
    </w:p>
    <w:p>
      <w:pPr>
        <w:pStyle w:val="BodyText"/>
        <w:spacing w:before="80"/>
        <w:rPr>
          <w:b/>
          <w:sz w:val="28"/>
        </w:rPr>
      </w:pPr>
    </w:p>
    <w:p>
      <w:pPr>
        <w:pStyle w:val="BodyText"/>
        <w:tabs>
          <w:tab w:pos="4786" w:val="left" w:leader="none"/>
        </w:tabs>
        <w:spacing w:line="292" w:lineRule="auto"/>
        <w:ind w:left="4786" w:right="425" w:hanging="302"/>
        <w:rPr>
          <w:rFonts w:ascii="Trebuchet MS" w:hAnsi="Trebuchet MS"/>
        </w:rPr>
      </w:pPr>
      <w:r>
        <w:rPr/>
        <w:drawing>
          <wp:inline distT="0" distB="0" distL="0" distR="0">
            <wp:extent cx="47624" cy="47623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rFonts w:ascii="Trebuchet MS" w:hAnsi="Trebuchet MS"/>
          <w:color w:val="1F1F1F"/>
          <w:w w:val="105"/>
        </w:rPr>
        <w:t>Certiﬁed Accounts Receivable Specialist (CARS), The Accounts Receivable </w:t>
      </w:r>
      <w:r>
        <w:rPr>
          <w:rFonts w:ascii="Trebuchet MS" w:hAnsi="Trebuchet MS"/>
          <w:color w:val="1F1F1F"/>
          <w:spacing w:val="-2"/>
          <w:w w:val="105"/>
        </w:rPr>
        <w:t>Network</w:t>
      </w:r>
    </w:p>
    <w:p>
      <w:pPr>
        <w:pStyle w:val="BodyText"/>
        <w:tabs>
          <w:tab w:pos="4786" w:val="left" w:leader="none"/>
        </w:tabs>
        <w:spacing w:before="90"/>
        <w:ind w:left="4484"/>
        <w:rPr>
          <w:rFonts w:ascii="Trebuchet MS" w:hAnsi="Trebuchet MS"/>
        </w:rPr>
      </w:pPr>
      <w:r>
        <w:rPr/>
        <w:drawing>
          <wp:inline distT="0" distB="0" distL="0" distR="0">
            <wp:extent cx="47624" cy="47623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rFonts w:ascii="Trebuchet MS" w:hAnsi="Trebuchet MS"/>
          <w:color w:val="1F1F1F"/>
        </w:rPr>
        <w:t>Certiﬁed</w:t>
      </w:r>
      <w:r>
        <w:rPr>
          <w:rFonts w:ascii="Trebuchet MS" w:hAnsi="Trebuchet MS"/>
          <w:color w:val="1F1F1F"/>
          <w:spacing w:val="6"/>
        </w:rPr>
        <w:t> </w:t>
      </w:r>
      <w:r>
        <w:rPr>
          <w:rFonts w:ascii="Trebuchet MS" w:hAnsi="Trebuchet MS"/>
          <w:color w:val="1F1F1F"/>
        </w:rPr>
        <w:t>Bookkeeper</w:t>
      </w:r>
      <w:r>
        <w:rPr>
          <w:rFonts w:ascii="Trebuchet MS" w:hAnsi="Trebuchet MS"/>
          <w:color w:val="1F1F1F"/>
          <w:spacing w:val="6"/>
        </w:rPr>
        <w:t> </w:t>
      </w:r>
      <w:r>
        <w:rPr>
          <w:rFonts w:ascii="Trebuchet MS" w:hAnsi="Trebuchet MS"/>
          <w:color w:val="1F1F1F"/>
        </w:rPr>
        <w:t>(CB),</w:t>
      </w:r>
      <w:r>
        <w:rPr>
          <w:rFonts w:ascii="Trebuchet MS" w:hAnsi="Trebuchet MS"/>
          <w:color w:val="1F1F1F"/>
          <w:spacing w:val="6"/>
        </w:rPr>
        <w:t> </w:t>
      </w:r>
      <w:r>
        <w:rPr>
          <w:rFonts w:ascii="Trebuchet MS" w:hAnsi="Trebuchet MS"/>
          <w:color w:val="1F1F1F"/>
        </w:rPr>
        <w:t>American</w:t>
      </w:r>
      <w:r>
        <w:rPr>
          <w:rFonts w:ascii="Trebuchet MS" w:hAnsi="Trebuchet MS"/>
          <w:color w:val="1F1F1F"/>
          <w:spacing w:val="6"/>
        </w:rPr>
        <w:t> </w:t>
      </w:r>
      <w:r>
        <w:rPr>
          <w:rFonts w:ascii="Trebuchet MS" w:hAnsi="Trebuchet MS"/>
          <w:color w:val="1F1F1F"/>
        </w:rPr>
        <w:t>Institute</w:t>
      </w:r>
      <w:r>
        <w:rPr>
          <w:rFonts w:ascii="Trebuchet MS" w:hAnsi="Trebuchet MS"/>
          <w:color w:val="1F1F1F"/>
          <w:spacing w:val="7"/>
        </w:rPr>
        <w:t> </w:t>
      </w:r>
      <w:r>
        <w:rPr>
          <w:rFonts w:ascii="Trebuchet MS" w:hAnsi="Trebuchet MS"/>
          <w:color w:val="1F1F1F"/>
        </w:rPr>
        <w:t>of</w:t>
      </w:r>
      <w:r>
        <w:rPr>
          <w:rFonts w:ascii="Trebuchet MS" w:hAnsi="Trebuchet MS"/>
          <w:color w:val="1F1F1F"/>
          <w:spacing w:val="6"/>
        </w:rPr>
        <w:t> </w:t>
      </w:r>
      <w:r>
        <w:rPr>
          <w:rFonts w:ascii="Trebuchet MS" w:hAnsi="Trebuchet MS"/>
          <w:color w:val="1F1F1F"/>
        </w:rPr>
        <w:t>Professional</w:t>
      </w:r>
      <w:r>
        <w:rPr>
          <w:rFonts w:ascii="Trebuchet MS" w:hAnsi="Trebuchet MS"/>
          <w:color w:val="1F1F1F"/>
          <w:spacing w:val="6"/>
        </w:rPr>
        <w:t> </w:t>
      </w:r>
      <w:r>
        <w:rPr>
          <w:rFonts w:ascii="Trebuchet MS" w:hAnsi="Trebuchet MS"/>
          <w:color w:val="1F1F1F"/>
          <w:spacing w:val="-2"/>
        </w:rPr>
        <w:t>Bookkeepers</w:t>
      </w:r>
    </w:p>
    <w:p>
      <w:pPr>
        <w:pStyle w:val="BodyText"/>
        <w:tabs>
          <w:tab w:pos="4786" w:val="left" w:leader="none"/>
        </w:tabs>
        <w:spacing w:line="292" w:lineRule="auto" w:before="151"/>
        <w:ind w:left="4786" w:right="767" w:hanging="302"/>
        <w:rPr>
          <w:rFonts w:ascii="Trebuchet MS" w:hAnsi="Trebuchet MS"/>
        </w:rPr>
      </w:pPr>
      <w:r>
        <w:rPr>
          <w:position w:val="2"/>
        </w:rPr>
        <w:drawing>
          <wp:inline distT="0" distB="0" distL="0" distR="0">
            <wp:extent cx="47624" cy="47623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rFonts w:ascii="Trebuchet MS" w:hAnsi="Trebuchet MS"/>
          <w:color w:val="1F1F1F"/>
        </w:rPr>
        <w:t>Certiﬁed Public Accountant (CPA), American Institute of Certiﬁed Public </w:t>
      </w:r>
      <w:r>
        <w:rPr>
          <w:rFonts w:ascii="Trebuchet MS" w:hAnsi="Trebuchet MS"/>
          <w:color w:val="1F1F1F"/>
          <w:spacing w:val="-2"/>
        </w:rPr>
        <w:t>Accountants</w:t>
      </w:r>
    </w:p>
    <w:sectPr>
      <w:pgSz w:w="11920" w:h="16860"/>
      <w:pgMar w:top="0" w:bottom="0" w:left="1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917"/>
      <w:jc w:val="center"/>
    </w:pPr>
    <w:rPr>
      <w:rFonts w:ascii="Arial" w:hAnsi="Arial" w:eastAsia="Arial" w:cs="Arial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2025-02-06T01:29:27Z</dcterms:created>
  <dcterms:modified xsi:type="dcterms:W3CDTF">2025-02-06T01:29:27Z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2025-02-06T00:00:00Z</vt:filetime>
  </property>
  <property fmtid="{D5CDD505-2E9C-101B-9397-08002B2CF9AE}" pid="5" name="Producer">
    <vt:lpwstr>pdf-merger-js</vt:lpwstr>
  </property>
</Properties>
</file>